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2018年统计报表填报过程中常见问题汇总</w:t>
      </w: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spacing w:line="360" w:lineRule="auto"/>
        <w:jc w:val="left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>1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. 外聘人员：包括退休返聘人员。</w:t>
      </w:r>
    </w:p>
    <w:p>
      <w:pPr>
        <w:spacing w:line="360" w:lineRule="auto"/>
        <w:jc w:val="left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2. 在编专职行政人员：健康教育工作由中心分管领导负责，但是该领导也负责其他业务，该领导依然属于在编专职行政人员。</w:t>
      </w:r>
    </w:p>
    <w:p>
      <w:pPr>
        <w:spacing w:line="360" w:lineRule="auto"/>
        <w:jc w:val="left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3. 国际期刊：有国际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标准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的ISN序列号。</w:t>
      </w:r>
    </w:p>
    <w:p>
      <w:pPr>
        <w:adjustRightInd w:val="0"/>
        <w:snapToGrid w:val="0"/>
        <w:spacing w:line="360" w:lineRule="auto"/>
        <w:jc w:val="left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 xml:space="preserve">4. 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发表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文章：第一作者和通讯作者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eastAsia="zh-CN"/>
        </w:rPr>
        <w:t>可以计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为文章发表，第二第三作者不计入在内。</w:t>
      </w:r>
    </w:p>
    <w:p>
      <w:pPr>
        <w:adjustRightInd w:val="0"/>
        <w:snapToGrid w:val="0"/>
        <w:spacing w:line="360" w:lineRule="auto"/>
        <w:jc w:val="left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科普文章：指本所（科）人员当年在有CN刊号的报刊（包括报纸、期刊）上发表的科普文章。专业性或卫生行业内部报道、健康教育活动的新闻报道不计入内。</w:t>
      </w:r>
    </w:p>
    <w:p>
      <w:pPr>
        <w:adjustRightInd w:val="0"/>
        <w:snapToGrid w:val="0"/>
        <w:spacing w:line="360" w:lineRule="auto"/>
        <w:jc w:val="left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学术论文：当年在有CN刊号的学术期刊上发表的论文，或在英文学术期刊上发表的论文。</w:t>
      </w:r>
    </w:p>
    <w:p>
      <w:pPr>
        <w:adjustRightInd w:val="0"/>
        <w:snapToGrid w:val="0"/>
        <w:spacing w:line="360" w:lineRule="auto"/>
        <w:jc w:val="left"/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 xml:space="preserve">5. 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不在行政区划范围内的机构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eastAsia="zh-CN"/>
        </w:rPr>
        <w:t>也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需要填报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</w:rPr>
        <w:t>比如是开发区，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lang w:eastAsia="zh-CN"/>
        </w:rPr>
        <w:t>或者某些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</w:rPr>
        <w:t>新区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lang w:eastAsia="zh-CN"/>
        </w:rPr>
        <w:t>类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</w:rPr>
        <w:t>的，没有行政区划代码。如大连开发区</w:t>
      </w:r>
      <w:r>
        <w:rPr>
          <w:rFonts w:hint="eastAsia" w:ascii="Times New Roman" w:hAnsi="Times New Roman" w:eastAsia="仿宋" w:cs="Times New Roman"/>
          <w:color w:val="auto"/>
          <w:kern w:val="0"/>
          <w:sz w:val="24"/>
          <w:szCs w:val="24"/>
          <w:lang w:eastAsia="zh-CN"/>
        </w:rPr>
        <w:t>，虽然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</w:rPr>
        <w:t>不属区县，属市</w:t>
      </w:r>
      <w:r>
        <w:rPr>
          <w:rFonts w:hint="eastAsia" w:ascii="Times New Roman" w:hAnsi="Times New Roman" w:eastAsia="仿宋" w:cs="Times New Roman"/>
          <w:color w:val="auto"/>
          <w:kern w:val="0"/>
          <w:sz w:val="24"/>
          <w:szCs w:val="24"/>
          <w:lang w:eastAsia="zh-CN"/>
        </w:rPr>
        <w:t>级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</w:rPr>
        <w:t>管辖，</w:t>
      </w:r>
      <w:r>
        <w:rPr>
          <w:rFonts w:hint="eastAsia" w:ascii="Times New Roman" w:hAnsi="Times New Roman" w:eastAsia="仿宋" w:cs="Times New Roman"/>
          <w:color w:val="auto"/>
          <w:kern w:val="0"/>
          <w:sz w:val="24"/>
          <w:szCs w:val="24"/>
          <w:lang w:eastAsia="zh-CN"/>
        </w:rPr>
        <w:t>按照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</w:rPr>
        <w:t>区级的机构</w:t>
      </w:r>
      <w:r>
        <w:rPr>
          <w:rFonts w:hint="eastAsia" w:ascii="Times New Roman" w:hAnsi="Times New Roman" w:eastAsia="仿宋" w:cs="Times New Roman"/>
          <w:color w:val="auto"/>
          <w:kern w:val="0"/>
          <w:sz w:val="24"/>
          <w:szCs w:val="24"/>
          <w:lang w:eastAsia="zh-CN"/>
        </w:rPr>
        <w:t>填报。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lang w:eastAsia="zh-CN"/>
        </w:rPr>
        <w:t>如果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</w:rPr>
        <w:t>没有编码的话，编码顺延区级代码，在报告中把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lang w:eastAsia="zh-CN"/>
        </w:rPr>
        <w:t>该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</w:rPr>
        <w:t>特殊的情况说明一下。</w:t>
      </w:r>
    </w:p>
    <w:p>
      <w:pPr>
        <w:numPr>
          <w:ilvl w:val="0"/>
          <w:numId w:val="1"/>
        </w:numPr>
        <w:spacing w:line="360" w:lineRule="auto"/>
        <w:jc w:val="left"/>
        <w:rPr>
          <w:rFonts w:hint="default" w:ascii="Times New Roman" w:hAnsi="Times New Roman" w:eastAsia="仿宋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与电视台</w:t>
      </w:r>
      <w:r>
        <w:rPr>
          <w:rFonts w:hint="default" w:ascii="Times New Roman" w:hAnsi="Times New Roman" w:eastAsia="仿宋" w:cs="Times New Roman"/>
          <w:sz w:val="24"/>
          <w:szCs w:val="24"/>
          <w:lang w:eastAsia="zh-CN"/>
        </w:rPr>
        <w:t>、广播</w:t>
      </w:r>
      <w:r>
        <w:rPr>
          <w:rFonts w:hint="default" w:ascii="Times New Roman" w:hAnsi="Times New Roman" w:eastAsia="仿宋" w:cs="Times New Roman"/>
          <w:sz w:val="24"/>
          <w:szCs w:val="24"/>
        </w:rPr>
        <w:t>合办栏目数</w:t>
      </w:r>
      <w:r>
        <w:rPr>
          <w:rFonts w:hint="default" w:ascii="Times New Roman" w:hAnsi="Times New Roman" w:eastAsia="仿宋" w:cs="Times New Roman"/>
          <w:sz w:val="24"/>
          <w:szCs w:val="24"/>
          <w:lang w:eastAsia="zh-CN"/>
        </w:rPr>
        <w:t>及全年播放时长（报刊也类似）有很多单位填报比较离谱，填报时上级单位请核查一下平均每栏目每天播放时长是否合理。</w:t>
      </w:r>
    </w:p>
    <w:p>
      <w:pPr>
        <w:numPr>
          <w:ilvl w:val="0"/>
          <w:numId w:val="1"/>
        </w:numPr>
        <w:spacing w:line="360" w:lineRule="auto"/>
        <w:jc w:val="left"/>
        <w:rPr>
          <w:rFonts w:hint="default" w:ascii="Times New Roman" w:hAnsi="Times New Roman" w:eastAsia="仿宋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2018年统计报表单位编码相对有改善，但是地市级和区县级的单位编码填报错误的较多。</w:t>
      </w:r>
    </w:p>
    <w:p>
      <w:pPr>
        <w:numPr>
          <w:numId w:val="0"/>
        </w:numPr>
        <w:spacing w:line="360" w:lineRule="auto"/>
        <w:jc w:val="left"/>
        <w:rPr>
          <w:rFonts w:hint="default" w:ascii="Times New Roman" w:hAnsi="Times New Roman" w:eastAsia="仿宋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仿宋" w:cs="Times New Roman"/>
          <w:sz w:val="24"/>
          <w:szCs w:val="24"/>
          <w:lang w:eastAsia="zh-CN"/>
        </w:rPr>
        <w:t>单位编码：1-4位代码参照国家统计局网站上公布的《最新县及县以上行政区划代码》中的省级和市级行政机构代码，如果是省级机构，则第3、4位代码填写00，5、6位代码从01开始编码。5、6位代码为区县级代码，地市级机构：第5位为0，从01开始编码。区级机构：从11开始顺序编码。县级机构：从31开始顺序编码。县级市机构：从81开始顺序编码。</w:t>
      </w:r>
    </w:p>
    <w:p>
      <w:pPr>
        <w:numPr>
          <w:numId w:val="0"/>
        </w:numPr>
        <w:spacing w:line="360" w:lineRule="auto"/>
        <w:jc w:val="left"/>
        <w:rPr>
          <w:rFonts w:hint="default" w:ascii="Times New Roman" w:hAnsi="Times New Roman" w:eastAsia="仿宋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仿宋" w:cs="Times New Roman"/>
          <w:sz w:val="24"/>
          <w:szCs w:val="24"/>
          <w:lang w:eastAsia="zh-CN"/>
        </w:rPr>
        <w:t>行政区划代码：参照国家统计局《县以下行政区划代码编制规则》填写。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初始学历、最高学历及其所学专业和专业技术资格等有明确取值范围，填报时避免出现非选项数字。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经费单位为万元，有个别地区没注意单位。</w:t>
      </w:r>
    </w:p>
    <w:p>
      <w:pPr>
        <w:widowControl w:val="0"/>
        <w:numPr>
          <w:ilvl w:val="0"/>
          <w:numId w:val="1"/>
        </w:numPr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培训次数与人次数填</w:t>
      </w:r>
      <w:bookmarkStart w:id="0" w:name="_GoBack"/>
      <w:bookmarkEnd w:id="0"/>
      <w:r>
        <w:rPr>
          <w:rFonts w:hint="default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报时存在培训次数为0，人次数为N的情况；或培训次数为N，人次数为0的情况；与上述问题类似的还有</w:t>
      </w: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媒体宣传中的相关</w:t>
      </w:r>
      <w:r>
        <w:rPr>
          <w:rFonts w:hint="default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指标</w:t>
      </w: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。</w:t>
      </w:r>
    </w:p>
    <w:p>
      <w:pPr>
        <w:widowControl w:val="0"/>
        <w:numPr>
          <w:numId w:val="0"/>
        </w:numPr>
        <w:spacing w:line="360" w:lineRule="auto"/>
        <w:ind w:leftChars="0"/>
        <w:jc w:val="left"/>
        <w:rPr>
          <w:rFonts w:hint="default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</w:p>
    <w:p>
      <w:pPr>
        <w:widowControl w:val="0"/>
        <w:numPr>
          <w:numId w:val="0"/>
        </w:numPr>
        <w:spacing w:line="360" w:lineRule="auto"/>
        <w:jc w:val="left"/>
        <w:rPr>
          <w:rFonts w:hint="default" w:ascii="Times New Roman" w:hAnsi="Times New Roman" w:eastAsia="仿宋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/>
          <w:bCs/>
          <w:kern w:val="2"/>
          <w:sz w:val="24"/>
          <w:szCs w:val="24"/>
          <w:lang w:val="en-US" w:eastAsia="zh-CN" w:bidi="ar-SA"/>
        </w:rPr>
        <w:t>注意事项：</w:t>
      </w:r>
    </w:p>
    <w:p>
      <w:pPr>
        <w:widowControl w:val="0"/>
        <w:numPr>
          <w:numId w:val="0"/>
        </w:numPr>
        <w:spacing w:line="360" w:lineRule="auto"/>
        <w:jc w:val="left"/>
        <w:rPr>
          <w:rFonts w:hint="default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1.如果一个地区有不止一个健康教育专业机构的，需要在报告中具体说明。</w:t>
      </w:r>
    </w:p>
    <w:p>
      <w:pPr>
        <w:widowControl w:val="0"/>
        <w:numPr>
          <w:numId w:val="0"/>
        </w:numPr>
        <w:spacing w:line="360" w:lineRule="auto"/>
        <w:jc w:val="left"/>
        <w:rPr>
          <w:rFonts w:hint="default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2.省级机构填报的《2019年度健康教育统计报表工作报告》要包括省内报表提交情况表，认真填写省市县级机构区划数、上报数和健康教育机构设置数。类似慢性病与健康教育科也属于设置有健康教育机构，如果科室名称中未体现健康教育，则为未设置健康教育科。</w:t>
      </w:r>
    </w:p>
    <w:p>
      <w:pPr>
        <w:widowControl w:val="0"/>
        <w:numPr>
          <w:numId w:val="0"/>
        </w:numPr>
        <w:spacing w:line="360" w:lineRule="auto"/>
        <w:jc w:val="left"/>
        <w:rPr>
          <w:rFonts w:hint="default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健康教育机构：指从事健康教育专业技术工作的业务机构，包括独立法人单位和挂牌（健康教育科等）的隶属于卫生健康委或者相关机构的业务科室，但不包括各级医院和社区卫生机构的健康教育科。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470E6"/>
    <w:multiLevelType w:val="singleLevel"/>
    <w:tmpl w:val="67B470E6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291225"/>
    <w:rsid w:val="126F38B2"/>
    <w:rsid w:val="204C3FD0"/>
    <w:rsid w:val="26D03E37"/>
    <w:rsid w:val="34CA5370"/>
    <w:rsid w:val="3D176705"/>
    <w:rsid w:val="3E143A43"/>
    <w:rsid w:val="459E1DA4"/>
    <w:rsid w:val="4E291225"/>
    <w:rsid w:val="50AB09BE"/>
    <w:rsid w:val="5A5530A8"/>
    <w:rsid w:val="5B156176"/>
    <w:rsid w:val="6963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  <w:style w:type="paragraph" w:customStyle="1" w:styleId="5">
    <w:name w:val="列出段落1"/>
    <w:basedOn w:val="1"/>
    <w:qFormat/>
    <w:uiPriority w:val="34"/>
    <w:pPr>
      <w:spacing w:line="280" w:lineRule="exact"/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2020-01-06T02:09:00Z</dcterms:created>
  <dc:creator>Lenovo</dc:creator>
  <cp:lastModifiedBy>Lenovo</cp:lastModifiedBy>
  <dcterms:modified xsi:type="dcterms:W3CDTF">2020-01-06T03:12:28Z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